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</w:t>
      </w:r>
      <w:r>
        <w:rPr>
          <w:b/>
          <w:sz w:val="28"/>
          <w:szCs w:val="28"/>
        </w:rPr>
        <w:t xml:space="preserve"> проекту </w:t>
      </w:r>
      <w:r>
        <w:rPr>
          <w:b/>
          <w:sz w:val="28"/>
          <w:szCs w:val="28"/>
        </w:rPr>
        <w:t xml:space="preserve">закона</w:t>
      </w:r>
      <w:r>
        <w:rPr>
          <w:b/>
          <w:sz w:val="28"/>
          <w:szCs w:val="28"/>
        </w:rPr>
        <w:t xml:space="preserve"> Новосибирской области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изменения в </w:t>
      </w:r>
      <w:r>
        <w:rPr>
          <w:b/>
          <w:sz w:val="28"/>
          <w:szCs w:val="28"/>
        </w:rPr>
        <w:t xml:space="preserve">статью 16 Закона </w:t>
      </w:r>
      <w:r>
        <w:rPr>
          <w:b/>
          <w:sz w:val="28"/>
          <w:szCs w:val="28"/>
        </w:rPr>
        <w:t xml:space="preserve">Новосибирской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защите прав детей в Новосибирской области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закона</w:t>
      </w:r>
      <w:r>
        <w:rPr>
          <w:sz w:val="28"/>
          <w:szCs w:val="28"/>
        </w:rPr>
        <w:t xml:space="preserve"> Новосибирской области «О внесении изменения в статью 1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защите прав детей в Новосибирской области»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закон</w:t>
      </w:r>
      <w:r>
        <w:rPr>
          <w:sz w:val="28"/>
          <w:szCs w:val="28"/>
        </w:rPr>
        <w:t xml:space="preserve">) не вводит новые, не расширяет (не увеличивает) действующие ра</w:t>
      </w:r>
      <w:r>
        <w:rPr>
          <w:sz w:val="28"/>
          <w:szCs w:val="28"/>
        </w:rPr>
        <w:t xml:space="preserve">сходные обязательства областного</w:t>
      </w:r>
      <w:r>
        <w:rPr>
          <w:sz w:val="28"/>
          <w:szCs w:val="28"/>
        </w:rPr>
        <w:t xml:space="preserve"> бюджета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направлен на приведение в соответствие с федеральным законодательством, в связи с ч</w:t>
      </w:r>
      <w:r>
        <w:rPr>
          <w:sz w:val="28"/>
          <w:szCs w:val="28"/>
        </w:rPr>
        <w:t xml:space="preserve">ем предлагается признать утратившей силу часть 3 статьи 16 Закона Новосибирской области от 12 мая 2003 года № 111-ОЗ «О защите прав детей в Новосибирской области», регулирующей положения о квотировании рабочих мест для трудоустройства детей, ищущих работу.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</w:pPr>
      <w:r>
        <w:rPr>
          <w:sz w:val="28"/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bookmarkStart w:id="0" w:name="_GoBack"/>
      <w:r/>
      <w:bookmarkEnd w:id="0"/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994" w:right="567" w:bottom="938" w:left="1135" w:header="54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alibri">
    <w:panose1 w:val="020F0502020204030204"/>
  </w:font>
  <w:font w:name="Symbol">
    <w:panose1 w:val="05010000000000000000"/>
  </w:font>
  <w:font w:name="Arial">
    <w:panose1 w:val="020B0604020202020204"/>
  </w:font>
  <w:font w:name="Tahoma">
    <w:panose1 w:val="020B0604030504040204"/>
  </w:font>
  <w:font w:name="Droid Sans">
    <w:panose1 w:val="020B0606030804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80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96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97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98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Droid Sans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4">
    <w:name w:val="Hyperlink"/>
    <w:uiPriority w:val="99"/>
    <w:unhideWhenUsed/>
    <w:rPr>
      <w:color w:val="0000ff" w:themeColor="hyperlink"/>
      <w:u w:val="single"/>
    </w:rPr>
  </w:style>
  <w:style w:type="paragraph" w:styleId="695" w:default="1">
    <w:name w:val="Normal"/>
    <w:qFormat/>
    <w:rPr>
      <w:rFonts w:eastAsia="Times New Roman" w:cs="Times New Roman"/>
      <w:lang w:bidi="ar-SA"/>
    </w:rPr>
  </w:style>
  <w:style w:type="paragraph" w:styleId="696">
    <w:name w:val="Heading 1"/>
    <w:basedOn w:val="695"/>
    <w:qFormat/>
    <w:pPr>
      <w:numPr>
        <w:ilvl w:val="0"/>
        <w:numId w:val="1"/>
      </w:numPr>
      <w:jc w:val="center"/>
      <w:keepNext/>
      <w:outlineLvl w:val="0"/>
    </w:pPr>
    <w:rPr>
      <w:color w:val="000000"/>
      <w:sz w:val="24"/>
    </w:rPr>
  </w:style>
  <w:style w:type="paragraph" w:styleId="697">
    <w:name w:val="Heading 2"/>
    <w:basedOn w:val="695"/>
    <w:qFormat/>
    <w:pPr>
      <w:numPr>
        <w:ilvl w:val="1"/>
        <w:numId w:val="1"/>
      </w:numPr>
      <w:jc w:val="center"/>
      <w:keepNext/>
      <w:outlineLvl w:val="1"/>
    </w:pPr>
    <w:rPr>
      <w:sz w:val="28"/>
    </w:rPr>
  </w:style>
  <w:style w:type="paragraph" w:styleId="698">
    <w:name w:val="Heading 3"/>
    <w:basedOn w:val="695"/>
    <w:qFormat/>
    <w:pPr>
      <w:numPr>
        <w:ilvl w:val="2"/>
        <w:numId w:val="1"/>
      </w:numPr>
      <w:jc w:val="center"/>
      <w:keepNext/>
      <w:outlineLvl w:val="2"/>
    </w:pPr>
    <w:rPr>
      <w:sz w:val="36"/>
    </w:rPr>
  </w:style>
  <w:style w:type="paragraph" w:styleId="699">
    <w:name w:val="Heading 4"/>
    <w:basedOn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Internet Link"/>
    <w:uiPriority w:val="99"/>
    <w:unhideWhenUsed/>
    <w:qFormat/>
    <w:rPr>
      <w:color w:val="0000ff" w:themeColor="hyperlink"/>
      <w:u w:val="single"/>
    </w:rPr>
  </w:style>
  <w:style w:type="character" w:styleId="709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Title Char"/>
    <w:uiPriority w:val="10"/>
    <w:qFormat/>
    <w:rPr>
      <w:sz w:val="48"/>
      <w:szCs w:val="48"/>
    </w:rPr>
  </w:style>
  <w:style w:type="character" w:styleId="719" w:customStyle="1">
    <w:name w:val="Subtitle Char"/>
    <w:uiPriority w:val="11"/>
    <w:qFormat/>
    <w:rPr>
      <w:sz w:val="24"/>
      <w:szCs w:val="24"/>
    </w:rPr>
  </w:style>
  <w:style w:type="character" w:styleId="720" w:customStyle="1">
    <w:name w:val="Quote Char"/>
    <w:uiPriority w:val="29"/>
    <w:qFormat/>
    <w:rPr>
      <w:i/>
    </w:rPr>
  </w:style>
  <w:style w:type="character" w:styleId="721" w:customStyle="1">
    <w:name w:val="Intense Quote Char"/>
    <w:uiPriority w:val="30"/>
    <w:qFormat/>
    <w:rPr>
      <w:i/>
    </w:rPr>
  </w:style>
  <w:style w:type="character" w:styleId="722" w:customStyle="1">
    <w:name w:val="Header Char"/>
    <w:uiPriority w:val="99"/>
    <w:qFormat/>
  </w:style>
  <w:style w:type="character" w:styleId="723" w:customStyle="1">
    <w:name w:val="Footer Char"/>
    <w:uiPriority w:val="99"/>
    <w:qFormat/>
  </w:style>
  <w:style w:type="character" w:styleId="724" w:customStyle="1">
    <w:name w:val="Caption Char"/>
    <w:uiPriority w:val="99"/>
    <w:qFormat/>
  </w:style>
  <w:style w:type="character" w:styleId="725" w:customStyle="1">
    <w:name w:val="Internet Link1"/>
    <w:uiPriority w:val="99"/>
    <w:unhideWhenUsed/>
    <w:qFormat/>
    <w:rPr>
      <w:color w:val="0000ff" w:themeColor="hyperlink"/>
      <w:u w:val="single"/>
    </w:rPr>
  </w:style>
  <w:style w:type="character" w:styleId="726" w:customStyle="1">
    <w:name w:val="Footnote Text Char"/>
    <w:uiPriority w:val="99"/>
    <w:qFormat/>
    <w:rPr>
      <w:sz w:val="18"/>
    </w:rPr>
  </w:style>
  <w:style w:type="character" w:styleId="727">
    <w:name w:val="footnote reference"/>
    <w:rPr>
      <w:vertAlign w:val="superscript"/>
    </w:rPr>
  </w:style>
  <w:style w:type="character" w:styleId="728" w:customStyle="1">
    <w:name w:val="Footnote Characters"/>
    <w:qFormat/>
    <w:rPr>
      <w:vertAlign w:val="superscript"/>
    </w:rPr>
  </w:style>
  <w:style w:type="character" w:styleId="729" w:customStyle="1">
    <w:name w:val="Footnote Characters1"/>
    <w:qFormat/>
    <w:rPr>
      <w:vertAlign w:val="superscript"/>
    </w:rPr>
  </w:style>
  <w:style w:type="character" w:styleId="730" w:customStyle="1">
    <w:name w:val="Footnote Characters11"/>
    <w:qFormat/>
    <w:rPr>
      <w:vertAlign w:val="superscript"/>
    </w:rPr>
  </w:style>
  <w:style w:type="character" w:styleId="731" w:customStyle="1">
    <w:name w:val="Footnote Characters111"/>
    <w:qFormat/>
    <w:rPr>
      <w:vertAlign w:val="superscript"/>
    </w:rPr>
  </w:style>
  <w:style w:type="character" w:styleId="732" w:customStyle="1">
    <w:name w:val="Footnote Characters1111"/>
    <w:qFormat/>
    <w:rPr>
      <w:vertAlign w:val="superscript"/>
    </w:rPr>
  </w:style>
  <w:style w:type="character" w:styleId="733" w:customStyle="1">
    <w:name w:val="Footnote Characters11111"/>
    <w:qFormat/>
    <w:rPr>
      <w:vertAlign w:val="superscript"/>
    </w:rPr>
  </w:style>
  <w:style w:type="character" w:styleId="734" w:customStyle="1">
    <w:name w:val="Footnote Characters111111"/>
    <w:qFormat/>
    <w:rPr>
      <w:vertAlign w:val="superscript"/>
    </w:rPr>
  </w:style>
  <w:style w:type="character" w:styleId="735" w:customStyle="1">
    <w:name w:val="Footnote Characters1111111"/>
    <w:qFormat/>
    <w:rPr>
      <w:vertAlign w:val="superscript"/>
    </w:rPr>
  </w:style>
  <w:style w:type="character" w:styleId="736" w:customStyle="1">
    <w:name w:val="Footnote Characters11111111"/>
    <w:qFormat/>
    <w:rPr>
      <w:vertAlign w:val="superscript"/>
    </w:rPr>
  </w:style>
  <w:style w:type="character" w:styleId="737" w:customStyle="1">
    <w:name w:val="Footnote Characters111111111"/>
    <w:qFormat/>
    <w:rPr>
      <w:vertAlign w:val="superscript"/>
    </w:rPr>
  </w:style>
  <w:style w:type="character" w:styleId="738" w:customStyle="1">
    <w:name w:val="Footnote Characters1111111111"/>
    <w:uiPriority w:val="99"/>
    <w:unhideWhenUsed/>
    <w:qFormat/>
    <w:rPr>
      <w:vertAlign w:val="superscript"/>
    </w:rPr>
  </w:style>
  <w:style w:type="character" w:styleId="739" w:customStyle="1">
    <w:name w:val="Endnote Text Char"/>
    <w:uiPriority w:val="99"/>
    <w:qFormat/>
    <w:rPr>
      <w:sz w:val="20"/>
    </w:rPr>
  </w:style>
  <w:style w:type="character" w:styleId="740">
    <w:name w:val="endnote reference"/>
    <w:rPr>
      <w:vertAlign w:val="superscript"/>
    </w:rPr>
  </w:style>
  <w:style w:type="character" w:styleId="741" w:customStyle="1">
    <w:name w:val="Endnote Characters"/>
    <w:qFormat/>
    <w:rPr>
      <w:vertAlign w:val="superscript"/>
    </w:rPr>
  </w:style>
  <w:style w:type="character" w:styleId="742" w:customStyle="1">
    <w:name w:val="Endnote Characters1"/>
    <w:qFormat/>
    <w:rPr>
      <w:vertAlign w:val="superscript"/>
    </w:rPr>
  </w:style>
  <w:style w:type="character" w:styleId="743" w:customStyle="1">
    <w:name w:val="Endnote Characters11"/>
    <w:qFormat/>
    <w:rPr>
      <w:vertAlign w:val="superscript"/>
    </w:rPr>
  </w:style>
  <w:style w:type="character" w:styleId="744" w:customStyle="1">
    <w:name w:val="Endnote Characters111"/>
    <w:qFormat/>
    <w:rPr>
      <w:vertAlign w:val="superscript"/>
    </w:rPr>
  </w:style>
  <w:style w:type="character" w:styleId="745" w:customStyle="1">
    <w:name w:val="Endnote Characters1111"/>
    <w:qFormat/>
    <w:rPr>
      <w:vertAlign w:val="superscript"/>
    </w:rPr>
  </w:style>
  <w:style w:type="character" w:styleId="746" w:customStyle="1">
    <w:name w:val="Endnote Characters11111"/>
    <w:qFormat/>
    <w:rPr>
      <w:vertAlign w:val="superscript"/>
    </w:rPr>
  </w:style>
  <w:style w:type="character" w:styleId="747" w:customStyle="1">
    <w:name w:val="Endnote Characters111111"/>
    <w:qFormat/>
    <w:rPr>
      <w:vertAlign w:val="superscript"/>
    </w:rPr>
  </w:style>
  <w:style w:type="character" w:styleId="748" w:customStyle="1">
    <w:name w:val="Endnote Characters1111111"/>
    <w:qFormat/>
    <w:rPr>
      <w:vertAlign w:val="superscript"/>
    </w:rPr>
  </w:style>
  <w:style w:type="character" w:styleId="749" w:customStyle="1">
    <w:name w:val="Endnote Characters11111111"/>
    <w:qFormat/>
    <w:rPr>
      <w:vertAlign w:val="superscript"/>
    </w:rPr>
  </w:style>
  <w:style w:type="character" w:styleId="750" w:customStyle="1">
    <w:name w:val="Endnote Characters111111111"/>
    <w:qFormat/>
    <w:rPr>
      <w:vertAlign w:val="superscript"/>
    </w:rPr>
  </w:style>
  <w:style w:type="character" w:styleId="751" w:customStyle="1">
    <w:name w:val="Endnote Characters1111111111"/>
    <w:uiPriority w:val="99"/>
    <w:semiHidden/>
    <w:unhideWhenUsed/>
    <w:qFormat/>
    <w:rPr>
      <w:vertAlign w:val="superscript"/>
    </w:rPr>
  </w:style>
  <w:style w:type="character" w:styleId="752" w:customStyle="1">
    <w:name w:val="WW8Num1z0"/>
    <w:qFormat/>
  </w:style>
  <w:style w:type="character" w:styleId="753" w:customStyle="1">
    <w:name w:val="WW8Num2z0"/>
    <w:qFormat/>
    <w:rPr>
      <w:rFonts w:ascii="Symbol" w:hAnsi="Symbol" w:cs="Symbol"/>
    </w:rPr>
  </w:style>
  <w:style w:type="character" w:styleId="754" w:customStyle="1">
    <w:name w:val="WW8Num3z0"/>
    <w:qFormat/>
  </w:style>
  <w:style w:type="character" w:styleId="755" w:customStyle="1">
    <w:name w:val="WW8Num4z0"/>
    <w:qFormat/>
    <w:rPr>
      <w:rFonts w:ascii="Symbol" w:hAnsi="Symbol" w:cs="Symbol"/>
    </w:rPr>
  </w:style>
  <w:style w:type="character" w:styleId="756" w:customStyle="1">
    <w:name w:val="WW8Num5z0"/>
    <w:qFormat/>
  </w:style>
  <w:style w:type="character" w:styleId="757" w:customStyle="1">
    <w:name w:val="WW8Num6z0"/>
    <w:qFormat/>
    <w:rPr>
      <w:rFonts w:ascii="Symbol" w:hAnsi="Symbol" w:cs="Symbol"/>
    </w:rPr>
  </w:style>
  <w:style w:type="character" w:styleId="758" w:customStyle="1">
    <w:name w:val="WW8Num7z0"/>
    <w:qFormat/>
  </w:style>
  <w:style w:type="character" w:styleId="759" w:customStyle="1">
    <w:name w:val="WW8Num8z0"/>
    <w:qFormat/>
  </w:style>
  <w:style w:type="character" w:styleId="760" w:customStyle="1">
    <w:name w:val="WW8Num9z0"/>
    <w:qFormat/>
  </w:style>
  <w:style w:type="character" w:styleId="761" w:customStyle="1">
    <w:name w:val="Без интервала Знак"/>
    <w:qFormat/>
    <w:rPr>
      <w:rFonts w:ascii="Calibri" w:hAnsi="Calibri" w:cs="Calibri"/>
      <w:sz w:val="22"/>
      <w:szCs w:val="22"/>
      <w:lang w:val="ru-RU" w:bidi="ar-SA"/>
    </w:rPr>
  </w:style>
  <w:style w:type="character" w:styleId="762" w:customStyle="1">
    <w:name w:val="Верхний колонтитул Знак"/>
    <w:basedOn w:val="705"/>
    <w:qFormat/>
  </w:style>
  <w:style w:type="character" w:styleId="763" w:customStyle="1">
    <w:name w:val="Нижний колонтитул Знак"/>
    <w:basedOn w:val="705"/>
    <w:qFormat/>
  </w:style>
  <w:style w:type="paragraph" w:styleId="764" w:customStyle="1">
    <w:name w:val="Заголовок"/>
    <w:basedOn w:val="695"/>
    <w:next w:val="765"/>
    <w:qFormat/>
    <w:pPr>
      <w:jc w:val="center"/>
    </w:pPr>
    <w:rPr>
      <w:b/>
      <w:sz w:val="28"/>
    </w:rPr>
  </w:style>
  <w:style w:type="paragraph" w:styleId="765">
    <w:name w:val="Body Text"/>
    <w:basedOn w:val="695"/>
    <w:pPr>
      <w:jc w:val="both"/>
    </w:pPr>
    <w:rPr>
      <w:sz w:val="28"/>
    </w:rPr>
  </w:style>
  <w:style w:type="paragraph" w:styleId="766">
    <w:name w:val="List"/>
    <w:basedOn w:val="765"/>
    <w:rPr>
      <w:rFonts w:cs="Droid Sans"/>
    </w:rPr>
  </w:style>
  <w:style w:type="paragraph" w:styleId="767">
    <w:name w:val="Caption"/>
    <w:basedOn w:val="695"/>
    <w:qFormat/>
    <w:pPr>
      <w:spacing w:before="120" w:after="120"/>
      <w:suppressLineNumbers/>
    </w:pPr>
    <w:rPr>
      <w:rFonts w:cs="Droid Sans"/>
      <w:i/>
      <w:iCs/>
      <w:sz w:val="24"/>
      <w:szCs w:val="24"/>
    </w:rPr>
  </w:style>
  <w:style w:type="paragraph" w:styleId="768">
    <w:name w:val="index heading"/>
    <w:basedOn w:val="764"/>
  </w:style>
  <w:style w:type="paragraph" w:styleId="769">
    <w:name w:val="List Paragraph"/>
    <w:basedOn w:val="695"/>
    <w:uiPriority w:val="34"/>
    <w:qFormat/>
    <w:pPr>
      <w:contextualSpacing/>
      <w:ind w:left="720"/>
    </w:pPr>
  </w:style>
  <w:style w:type="paragraph" w:styleId="770">
    <w:name w:val="No Spacing"/>
    <w:qFormat/>
    <w:rPr>
      <w:rFonts w:ascii="Calibri" w:hAnsi="Calibri" w:eastAsia="Times New Roman" w:cs="Calibri"/>
      <w:sz w:val="22"/>
      <w:szCs w:val="22"/>
      <w:lang w:bidi="ar-SA"/>
    </w:rPr>
  </w:style>
  <w:style w:type="paragraph" w:styleId="771">
    <w:name w:val="Title"/>
    <w:basedOn w:val="69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2">
    <w:name w:val="Subtitle"/>
    <w:basedOn w:val="695"/>
    <w:uiPriority w:val="11"/>
    <w:qFormat/>
    <w:pPr>
      <w:spacing w:before="200" w:after="200"/>
    </w:pPr>
    <w:rPr>
      <w:sz w:val="24"/>
      <w:szCs w:val="24"/>
    </w:rPr>
  </w:style>
  <w:style w:type="paragraph" w:styleId="773">
    <w:name w:val="Quote"/>
    <w:basedOn w:val="695"/>
    <w:uiPriority w:val="29"/>
    <w:qFormat/>
    <w:pPr>
      <w:ind w:left="720" w:right="720"/>
    </w:pPr>
    <w:rPr>
      <w:i/>
    </w:rPr>
  </w:style>
  <w:style w:type="paragraph" w:styleId="774">
    <w:name w:val="Intense Quote"/>
    <w:basedOn w:val="6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75">
    <w:name w:val="footnote text"/>
    <w:basedOn w:val="695"/>
    <w:uiPriority w:val="99"/>
    <w:semiHidden/>
    <w:unhideWhenUsed/>
    <w:pPr>
      <w:spacing w:after="40"/>
    </w:pPr>
    <w:rPr>
      <w:sz w:val="18"/>
    </w:rPr>
  </w:style>
  <w:style w:type="paragraph" w:styleId="776">
    <w:name w:val="endnote text"/>
    <w:basedOn w:val="695"/>
    <w:uiPriority w:val="99"/>
    <w:semiHidden/>
    <w:unhideWhenUsed/>
  </w:style>
  <w:style w:type="paragraph" w:styleId="777">
    <w:name w:val="toc 1"/>
    <w:basedOn w:val="695"/>
    <w:uiPriority w:val="39"/>
    <w:unhideWhenUsed/>
    <w:pPr>
      <w:spacing w:after="57"/>
    </w:pPr>
  </w:style>
  <w:style w:type="paragraph" w:styleId="778">
    <w:name w:val="toc 2"/>
    <w:basedOn w:val="695"/>
    <w:uiPriority w:val="39"/>
    <w:unhideWhenUsed/>
    <w:pPr>
      <w:ind w:left="283"/>
      <w:spacing w:after="57"/>
    </w:pPr>
  </w:style>
  <w:style w:type="paragraph" w:styleId="779">
    <w:name w:val="toc 3"/>
    <w:basedOn w:val="695"/>
    <w:uiPriority w:val="39"/>
    <w:unhideWhenUsed/>
    <w:pPr>
      <w:ind w:left="567"/>
      <w:spacing w:after="57"/>
    </w:pPr>
  </w:style>
  <w:style w:type="paragraph" w:styleId="780">
    <w:name w:val="toc 4"/>
    <w:basedOn w:val="695"/>
    <w:uiPriority w:val="39"/>
    <w:unhideWhenUsed/>
    <w:pPr>
      <w:ind w:left="850"/>
      <w:spacing w:after="57"/>
    </w:pPr>
  </w:style>
  <w:style w:type="paragraph" w:styleId="781">
    <w:name w:val="toc 5"/>
    <w:basedOn w:val="695"/>
    <w:uiPriority w:val="39"/>
    <w:unhideWhenUsed/>
    <w:pPr>
      <w:ind w:left="1134"/>
      <w:spacing w:after="57"/>
    </w:pPr>
  </w:style>
  <w:style w:type="paragraph" w:styleId="782">
    <w:name w:val="toc 6"/>
    <w:basedOn w:val="695"/>
    <w:uiPriority w:val="39"/>
    <w:unhideWhenUsed/>
    <w:pPr>
      <w:ind w:left="1417"/>
      <w:spacing w:after="57"/>
    </w:pPr>
  </w:style>
  <w:style w:type="paragraph" w:styleId="783">
    <w:name w:val="toc 7"/>
    <w:basedOn w:val="695"/>
    <w:uiPriority w:val="39"/>
    <w:unhideWhenUsed/>
    <w:pPr>
      <w:ind w:left="1701"/>
      <w:spacing w:after="57"/>
    </w:pPr>
  </w:style>
  <w:style w:type="paragraph" w:styleId="784">
    <w:name w:val="toc 8"/>
    <w:basedOn w:val="695"/>
    <w:uiPriority w:val="39"/>
    <w:unhideWhenUsed/>
    <w:pPr>
      <w:ind w:left="1984"/>
      <w:spacing w:after="57"/>
    </w:pPr>
  </w:style>
  <w:style w:type="paragraph" w:styleId="785">
    <w:name w:val="toc 9"/>
    <w:basedOn w:val="695"/>
    <w:uiPriority w:val="39"/>
    <w:unhideWhenUsed/>
    <w:pPr>
      <w:ind w:left="2268"/>
      <w:spacing w:after="57"/>
    </w:pPr>
  </w:style>
  <w:style w:type="paragraph" w:styleId="786">
    <w:name w:val="TOC Heading"/>
    <w:uiPriority w:val="39"/>
    <w:unhideWhenUsed/>
    <w:qFormat/>
  </w:style>
  <w:style w:type="paragraph" w:styleId="787">
    <w:name w:val="table of figures"/>
    <w:basedOn w:val="695"/>
    <w:uiPriority w:val="99"/>
    <w:unhideWhenUsed/>
  </w:style>
  <w:style w:type="paragraph" w:styleId="788" w:customStyle="1">
    <w:name w:val="Caption1"/>
    <w:basedOn w:val="695"/>
    <w:qFormat/>
    <w:pPr>
      <w:spacing w:before="120" w:after="120"/>
      <w:suppressLineNumbers/>
    </w:pPr>
    <w:rPr>
      <w:rFonts w:cs="Droid Sans"/>
      <w:i/>
      <w:iCs/>
      <w:sz w:val="24"/>
      <w:szCs w:val="24"/>
    </w:rPr>
  </w:style>
  <w:style w:type="paragraph" w:styleId="789" w:customStyle="1">
    <w:name w:val="Caption11"/>
    <w:basedOn w:val="695"/>
    <w:qFormat/>
    <w:pPr>
      <w:spacing w:before="120" w:after="120"/>
      <w:suppressLineNumbers/>
    </w:pPr>
    <w:rPr>
      <w:rFonts w:cs="Droid Sans"/>
      <w:i/>
      <w:iCs/>
      <w:sz w:val="24"/>
      <w:szCs w:val="24"/>
    </w:rPr>
  </w:style>
  <w:style w:type="paragraph" w:styleId="790" w:customStyle="1">
    <w:name w:val="Caption111"/>
    <w:basedOn w:val="695"/>
    <w:qFormat/>
    <w:pPr>
      <w:spacing w:before="120" w:after="120"/>
      <w:suppressLineNumbers/>
    </w:pPr>
    <w:rPr>
      <w:rFonts w:cs="Droid Sans"/>
      <w:i/>
      <w:iCs/>
      <w:sz w:val="24"/>
      <w:szCs w:val="24"/>
    </w:rPr>
  </w:style>
  <w:style w:type="paragraph" w:styleId="791" w:customStyle="1">
    <w:name w:val="Caption1111"/>
    <w:basedOn w:val="695"/>
    <w:qFormat/>
    <w:pPr>
      <w:spacing w:before="120" w:after="120"/>
      <w:suppressLineNumbers/>
    </w:pPr>
    <w:rPr>
      <w:rFonts w:cs="Droid Sans"/>
      <w:i/>
      <w:iCs/>
      <w:sz w:val="24"/>
      <w:szCs w:val="24"/>
    </w:rPr>
  </w:style>
  <w:style w:type="paragraph" w:styleId="792">
    <w:name w:val="Body Text 2"/>
    <w:basedOn w:val="695"/>
    <w:qFormat/>
    <w:pPr>
      <w:jc w:val="both"/>
    </w:pPr>
    <w:rPr>
      <w:sz w:val="32"/>
    </w:rPr>
  </w:style>
  <w:style w:type="paragraph" w:styleId="793" w:customStyle="1">
    <w:name w:val="Body Text;Indented"/>
    <w:basedOn w:val="695"/>
    <w:qFormat/>
    <w:pPr>
      <w:ind w:left="720"/>
    </w:pPr>
    <w:rPr>
      <w:i/>
      <w:sz w:val="28"/>
    </w:rPr>
  </w:style>
  <w:style w:type="paragraph" w:styleId="794">
    <w:name w:val="Body Text Indent 2"/>
    <w:basedOn w:val="695"/>
    <w:qFormat/>
    <w:pPr>
      <w:ind w:left="720"/>
    </w:pPr>
    <w:rPr>
      <w:sz w:val="28"/>
    </w:rPr>
  </w:style>
  <w:style w:type="paragraph" w:styleId="795">
    <w:name w:val="Body Text 3"/>
    <w:basedOn w:val="695"/>
    <w:qFormat/>
    <w:rPr>
      <w:sz w:val="24"/>
    </w:rPr>
  </w:style>
  <w:style w:type="paragraph" w:styleId="796" w:customStyle="1">
    <w:name w:val="ConsNormal"/>
    <w:qFormat/>
    <w:pPr>
      <w:ind w:right="19772" w:firstLine="720"/>
      <w:widowControl w:val="off"/>
    </w:pPr>
    <w:rPr>
      <w:rFonts w:ascii="Arial" w:hAnsi="Arial" w:eastAsia="Times New Roman" w:cs="Arial"/>
      <w:sz w:val="22"/>
      <w:lang w:bidi="ar-SA"/>
    </w:rPr>
  </w:style>
  <w:style w:type="paragraph" w:styleId="797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sz w:val="22"/>
      <w:lang w:bidi="ar-SA"/>
    </w:rPr>
  </w:style>
  <w:style w:type="paragraph" w:styleId="798">
    <w:name w:val="Balloon Text"/>
    <w:basedOn w:val="695"/>
    <w:qFormat/>
    <w:rPr>
      <w:rFonts w:ascii="Tahoma" w:hAnsi="Tahoma" w:cs="Tahoma"/>
      <w:sz w:val="16"/>
      <w:szCs w:val="16"/>
    </w:rPr>
  </w:style>
  <w:style w:type="paragraph" w:styleId="799" w:customStyle="1">
    <w:name w:val="Знак Знак"/>
    <w:basedOn w:val="695"/>
    <w:qFormat/>
    <w:pPr>
      <w:spacing w:after="160" w:line="240" w:lineRule="exact"/>
      <w:tabs>
        <w:tab w:val="left" w:pos="360" w:leader="none"/>
      </w:tabs>
    </w:pPr>
    <w:rPr>
      <w:rFonts w:ascii="Verdana" w:hAnsi="Verdana" w:cs="Verdana"/>
      <w:lang w:val="en-US"/>
    </w:rPr>
  </w:style>
  <w:style w:type="paragraph" w:styleId="800" w:customStyle="1">
    <w:name w:val="ConsPlusTitle"/>
    <w:qFormat/>
    <w:pPr>
      <w:widowControl w:val="off"/>
    </w:pPr>
    <w:rPr>
      <w:rFonts w:ascii="Arial" w:hAnsi="Arial" w:eastAsia="Times New Roman" w:cs="Arial"/>
      <w:b/>
      <w:bCs/>
      <w:lang w:bidi="ar-SA"/>
    </w:rPr>
  </w:style>
  <w:style w:type="paragraph" w:styleId="801" w:customStyle="1">
    <w:name w:val="ConsPlusNormal"/>
    <w:qFormat/>
    <w:rPr>
      <w:rFonts w:eastAsia="Times New Roman" w:cs="Times New Roman"/>
      <w:sz w:val="28"/>
      <w:szCs w:val="28"/>
      <w:lang w:bidi="ar-SA"/>
    </w:rPr>
  </w:style>
  <w:style w:type="paragraph" w:styleId="802" w:customStyle="1">
    <w:name w:val="Header and Footer"/>
    <w:basedOn w:val="695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803">
    <w:name w:val="Header"/>
    <w:basedOn w:val="695"/>
    <w:pPr>
      <w:tabs>
        <w:tab w:val="center" w:pos="4677" w:leader="none"/>
        <w:tab w:val="right" w:pos="9355" w:leader="none"/>
      </w:tabs>
    </w:pPr>
  </w:style>
  <w:style w:type="paragraph" w:styleId="804">
    <w:name w:val="Footer"/>
    <w:basedOn w:val="695"/>
    <w:pPr>
      <w:tabs>
        <w:tab w:val="center" w:pos="4677" w:leader="none"/>
        <w:tab w:val="right" w:pos="9355" w:leader="none"/>
      </w:tabs>
    </w:pPr>
  </w:style>
  <w:style w:type="paragraph" w:styleId="805" w:customStyle="1">
    <w:name w:val="Содержимое таблицы"/>
    <w:basedOn w:val="695"/>
    <w:qFormat/>
    <w:pPr>
      <w:widowControl w:val="off"/>
      <w:suppressLineNumbers/>
    </w:pPr>
  </w:style>
  <w:style w:type="paragraph" w:styleId="806" w:customStyle="1">
    <w:name w:val="Заголовок таблицы"/>
    <w:basedOn w:val="805"/>
    <w:qFormat/>
    <w:pPr>
      <w:jc w:val="center"/>
    </w:pPr>
    <w:rPr>
      <w:b/>
      <w:bCs/>
    </w:rPr>
  </w:style>
  <w:style w:type="paragraph" w:styleId="807" w:customStyle="1">
    <w:name w:val="Footnote Characters12"/>
    <w:basedOn w:val="695"/>
    <w:qFormat/>
    <w:pPr>
      <w:ind w:firstLine="709"/>
      <w:jc w:val="both"/>
    </w:pPr>
    <w:rPr>
      <w:sz w:val="28"/>
      <w:szCs w:val="28"/>
    </w:rPr>
  </w:style>
  <w:style w:type="numbering" w:styleId="808" w:customStyle="1">
    <w:name w:val="Без списка"/>
    <w:uiPriority w:val="99"/>
    <w:semiHidden/>
    <w:unhideWhenUsed/>
    <w:qFormat/>
  </w:style>
  <w:style w:type="table" w:styleId="809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D"/>
      </w:tcPr>
    </w:tblStylePr>
    <w:tblStylePr w:type="band1Vert">
      <w:tcPr>
        <w:shd w:val="clear" w:color="ffffff" w:fill="f2f2f2" w:themeFill="text1" w:themeFillTint="0D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2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3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D"/>
      </w:tcPr>
    </w:tblStylePr>
    <w:tblStylePr w:type="band1Vert">
      <w:rPr>
        <w:sz w:val="22"/>
      </w:rPr>
      <w:tcPr>
        <w:shd w:val="clear" w:color="ffffff" w:fill="f2f2f2" w:themeFill="text1" w:themeFillTint="0D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14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D"/>
      </w:tcPr>
    </w:tblStylePr>
    <w:tblStylePr w:type="band1Vert">
      <w:rPr>
        <w:sz w:val="22"/>
      </w:rPr>
      <w:tcPr>
        <w:shd w:val="clear" w:color="ffffff" w:fill="f2f2f2" w:themeFill="text1" w:themeFillTint="0D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15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D"/>
      </w:tcPr>
    </w:tblStylePr>
    <w:tblStylePr w:type="band1Vert">
      <w:rPr>
        <w:sz w:val="22"/>
      </w:rPr>
      <w:tcPr>
        <w:shd w:val="clear" w:color="ffffff" w:fill="f2f2f2" w:themeFill="text1" w:themeFillTint="0D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7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8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9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38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ce6f2" w:themeFill="accent1" w:themeFillTint="32"/>
      </w:tcPr>
    </w:tblStylePr>
    <w:tblStylePr w:type="band1Vert">
      <w:rPr>
        <w:sz w:val="22"/>
      </w:rPr>
      <w:tcPr>
        <w:shd w:val="clear" w:color="ffffff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39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40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41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42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43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44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851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2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3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4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5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6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7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8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2f2f2" w:themeFill="text1" w:themeFillTint="0D"/>
      </w:tcPr>
    </w:tblStylePr>
    <w:tblStylePr w:type="band1Vert"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73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74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75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76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77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78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79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0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1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2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3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4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5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6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7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8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9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4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5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6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7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8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9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0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01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2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903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904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905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906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907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D"/>
      </w:tcPr>
    </w:tblStylePr>
    <w:tblStylePr w:type="band2Vert">
      <w:rPr>
        <w:sz w:val="22"/>
      </w:rPr>
      <w:tcPr>
        <w:shd w:val="clear" w:color="ffffff" w:fill="f2f2f2" w:themeFill="text1" w:themeFillTint="0D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15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16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17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18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19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20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21" w:customStyle="1">
    <w:name w:val="Bordered &amp; Lined - Accen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D"/>
      </w:tcPr>
    </w:tblStylePr>
    <w:tblStylePr w:type="band2Vert">
      <w:rPr>
        <w:sz w:val="22"/>
      </w:rPr>
      <w:tcPr>
        <w:shd w:val="clear" w:color="ffffff" w:fill="f2f2f2" w:themeFill="text1" w:themeFillTint="0D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2" w:customStyle="1">
    <w:name w:val="Bordered &amp; Lined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23" w:customStyle="1">
    <w:name w:val="Bordered &amp; Lined - Accent 2"/>
    <w:uiPriority w:val="99"/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24" w:customStyle="1">
    <w:name w:val="Bordered &amp; Lined - Accent 3"/>
    <w:uiPriority w:val="99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25" w:customStyle="1">
    <w:name w:val="Bordered &amp; Lined - Accent 4"/>
    <w:uiPriority w:val="99"/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26" w:customStyle="1">
    <w:name w:val="Bordered &amp; Lined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27" w:customStyle="1">
    <w:name w:val="Bordered &amp; Lined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28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29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0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31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32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33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34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КонсультантПлюс Версия 4025.00.02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Новосибирской области от 17.11.2021 N 462-п(ред. от 01.07.2025)"Об утверждении государственной программы Новосибирской области "Социальная поддержка в Новосибирской области"</dc:title>
  <dc:subject/>
  <dc:creator>Kubina</dc:creator>
  <dc:description/>
  <dc:language>ru-RU</dc:language>
  <cp:revision>4</cp:revision>
  <dcterms:created xsi:type="dcterms:W3CDTF">2026-04-09T03:44:00Z</dcterms:created>
  <dcterms:modified xsi:type="dcterms:W3CDTF">2026-04-28T11:16:44Z</dcterms:modified>
</cp:coreProperties>
</file>